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F93C523" w14:textId="77777777" w:rsidTr="0041512A">
        <w:tc>
          <w:tcPr>
            <w:tcW w:w="2263" w:type="dxa"/>
          </w:tcPr>
          <w:p w14:paraId="40D2797F" w14:textId="6BD6961A" w:rsidR="0041512A" w:rsidRDefault="000C07C3" w:rsidP="0041512A">
            <w:pPr>
              <w:spacing w:before="120" w:after="120"/>
            </w:pPr>
            <w:r>
              <w:rPr>
                <w:b/>
                <w:color w:val="0000FF"/>
                <w:sz w:val="24"/>
                <w:szCs w:val="24"/>
              </w:rPr>
              <w:t xml:space="preserve">                           </w:t>
            </w:r>
            <w:hyperlink r:id="rId5" w:history="1">
              <w:r w:rsidR="0091325F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122F60C1" w14:textId="77777777" w:rsidR="00695827" w:rsidRDefault="00697CB5" w:rsidP="0041512A">
            <w:pPr>
              <w:jc w:val="center"/>
              <w:rPr>
                <w:b/>
                <w:color w:val="006600"/>
                <w:sz w:val="40"/>
                <w:szCs w:val="40"/>
                <w:u w:val="none"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Competizioni sportive </w:t>
            </w:r>
          </w:p>
          <w:p w14:paraId="658BC7EA" w14:textId="0A985CDE" w:rsidR="0041512A" w:rsidRPr="00437832" w:rsidRDefault="00697CB5" w:rsidP="0041512A">
            <w:pPr>
              <w:jc w:val="center"/>
              <w:rPr>
                <w:u w:val="none"/>
              </w:rPr>
            </w:pPr>
            <w:r w:rsidRPr="00437832">
              <w:rPr>
                <w:b/>
                <w:color w:val="006600"/>
                <w:sz w:val="40"/>
                <w:szCs w:val="40"/>
                <w:u w:val="none"/>
              </w:rPr>
              <w:t>non su strada</w:t>
            </w:r>
          </w:p>
        </w:tc>
        <w:tc>
          <w:tcPr>
            <w:tcW w:w="1979" w:type="dxa"/>
          </w:tcPr>
          <w:p w14:paraId="3E81407D" w14:textId="2A3E3277" w:rsidR="0041512A" w:rsidRPr="0041512A" w:rsidRDefault="00AB51D9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1626B7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6835D8F1" w14:textId="77777777" w:rsidTr="0041512A">
        <w:tc>
          <w:tcPr>
            <w:tcW w:w="9629" w:type="dxa"/>
            <w:gridSpan w:val="3"/>
          </w:tcPr>
          <w:p w14:paraId="62FEC5BA" w14:textId="3E093D7E" w:rsidR="00F33A15" w:rsidRPr="00423B0B" w:rsidRDefault="00423B0B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423B0B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28EDF8F2" w14:textId="6EF721C3" w:rsidR="00423B0B" w:rsidRDefault="00697CB5" w:rsidP="00423B0B">
            <w:pPr>
              <w:spacing w:after="6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97CB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Una competizione sportiva </w:t>
            </w:r>
            <w:r w:rsidR="00423B0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non </w:t>
            </w:r>
            <w:r w:rsidRPr="00697CB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su strada è una manifestazione di carattere agonistico svolta </w:t>
            </w:r>
            <w:r w:rsidR="00423B0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in strutture</w:t>
            </w:r>
            <w:r w:rsidRPr="00697CB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423B0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o aree sportive controllate</w:t>
            </w:r>
            <w:r w:rsidRPr="00697CB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423B0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ad accesso libero o con pagamento di biglietto.</w:t>
            </w:r>
          </w:p>
          <w:p w14:paraId="5155EA20" w14:textId="439AE91E" w:rsidR="00697CB5" w:rsidRPr="00697CB5" w:rsidRDefault="00697CB5" w:rsidP="00423B0B">
            <w:pPr>
              <w:spacing w:after="6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97CB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Il carattere agonistico dell’evento richiede la presenza di almeno una delle seguenti condizioni:</w:t>
            </w:r>
          </w:p>
          <w:p w14:paraId="59EDAFF1" w14:textId="0E838F30" w:rsidR="005A366A" w:rsidRDefault="00697CB5" w:rsidP="00423B0B">
            <w:pPr>
              <w:numPr>
                <w:ilvl w:val="0"/>
                <w:numId w:val="18"/>
              </w:numPr>
              <w:spacing w:after="6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97CB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esistenza di un</w:t>
            </w:r>
            <w:r w:rsidR="005A366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 struttura o area ritenuta idonea allo svolgimento della manifestazione e alla presenza di pubblico;</w:t>
            </w:r>
          </w:p>
          <w:p w14:paraId="6803B181" w14:textId="1E7E8265" w:rsidR="00697CB5" w:rsidRDefault="00697CB5" w:rsidP="00423B0B">
            <w:pPr>
              <w:numPr>
                <w:ilvl w:val="0"/>
                <w:numId w:val="18"/>
              </w:numPr>
              <w:spacing w:after="6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97CB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regolamento di gara che preveda la formazione di un ordine di arrivo o di una graduatoria di merito finale, con o senza premi per i migliori classificati</w:t>
            </w:r>
            <w:r w:rsidR="005A366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;</w:t>
            </w:r>
          </w:p>
          <w:p w14:paraId="3568D187" w14:textId="4363E5D6" w:rsidR="001D73AE" w:rsidRPr="005A366A" w:rsidRDefault="005A366A" w:rsidP="005A366A">
            <w:pPr>
              <w:pStyle w:val="Paragrafoelenco"/>
              <w:numPr>
                <w:ilvl w:val="0"/>
                <w:numId w:val="18"/>
              </w:numPr>
              <w:tabs>
                <w:tab w:val="clear" w:pos="720"/>
              </w:tabs>
              <w:spacing w:after="6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5A366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svolgersi della competizione </w:t>
            </w:r>
            <w:r w:rsidR="00697CB5" w:rsidRPr="005A366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tra due o più concorrenti o squadre impegnate a superarsi vicendevolmente.</w:t>
            </w:r>
          </w:p>
          <w:p w14:paraId="113AF7C5" w14:textId="77777777" w:rsidR="001D73AE" w:rsidRDefault="001D73AE" w:rsidP="001D73AE">
            <w:pPr>
              <w:ind w:left="164" w:right="312"/>
              <w:jc w:val="both"/>
              <w:rPr>
                <w:b/>
                <w:color w:val="C00000"/>
                <w:sz w:val="24"/>
                <w:szCs w:val="24"/>
              </w:rPr>
            </w:pPr>
          </w:p>
          <w:p w14:paraId="774449DB" w14:textId="77777777" w:rsidR="00695827" w:rsidRPr="00AB4C12" w:rsidRDefault="00695827" w:rsidP="00695827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11D249E0" w14:textId="4B03A66A" w:rsidR="00695827" w:rsidRPr="00DC3D81" w:rsidRDefault="00DC3D81" w:rsidP="00695827">
            <w:pPr>
              <w:pStyle w:val="Paragrafoelenco"/>
              <w:numPr>
                <w:ilvl w:val="0"/>
                <w:numId w:val="22"/>
              </w:numPr>
              <w:spacing w:after="16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AB51D9">
              <w:rPr>
                <w:b/>
                <w:sz w:val="24"/>
                <w:szCs w:val="24"/>
              </w:rPr>
              <w:instrText>HYPERLINK "../../PROGRAMMAZIONE/AREE.docx"</w:instrText>
            </w:r>
            <w:r w:rsidR="00AB51D9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695827" w:rsidRPr="00DC3D81">
              <w:rPr>
                <w:rStyle w:val="Collegamentoipertestuale"/>
                <w:b/>
                <w:sz w:val="24"/>
                <w:szCs w:val="24"/>
              </w:rPr>
              <w:t>Programmazione economica-com</w:t>
            </w:r>
            <w:r w:rsidR="00695827" w:rsidRPr="00DC3D81">
              <w:rPr>
                <w:rStyle w:val="Collegamentoipertestuale"/>
                <w:b/>
                <w:sz w:val="24"/>
                <w:szCs w:val="24"/>
              </w:rPr>
              <w:t>m</w:t>
            </w:r>
            <w:r w:rsidR="00695827" w:rsidRPr="00DC3D81">
              <w:rPr>
                <w:rStyle w:val="Collegamentoipertestuale"/>
                <w:b/>
                <w:sz w:val="24"/>
                <w:szCs w:val="24"/>
              </w:rPr>
              <w:t>erciale del PGT</w:t>
            </w:r>
          </w:p>
          <w:p w14:paraId="4B68DED5" w14:textId="1B029B99" w:rsidR="00695827" w:rsidRPr="0031611B" w:rsidRDefault="00DC3D81" w:rsidP="00695827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11395DA9" w14:textId="22F1F4E3" w:rsidR="00695827" w:rsidRPr="000A1FBF" w:rsidRDefault="00695827" w:rsidP="00695827">
            <w:pPr>
              <w:pStyle w:val="Paragrafoelenco"/>
              <w:numPr>
                <w:ilvl w:val="0"/>
                <w:numId w:val="22"/>
              </w:numPr>
              <w:spacing w:before="120"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DC3D81"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A1FBF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60CACC6C" w14:textId="77777777" w:rsidR="00695827" w:rsidRPr="00F73D96" w:rsidRDefault="00695827" w:rsidP="00695827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5DA019A0" w14:textId="295D5A05" w:rsidR="00695827" w:rsidRPr="007331C5" w:rsidRDefault="00695827" w:rsidP="00695827">
            <w:pPr>
              <w:pStyle w:val="Paragrafoelenco"/>
              <w:widowControl w:val="0"/>
              <w:numPr>
                <w:ilvl w:val="0"/>
                <w:numId w:val="22"/>
              </w:numPr>
              <w:spacing w:after="120"/>
              <w:ind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7331C5">
              <w:rPr>
                <w:b/>
                <w:bCs/>
                <w:color w:val="FF0000"/>
                <w:sz w:val="24"/>
                <w:szCs w:val="24"/>
                <w:u w:val="none"/>
              </w:rPr>
              <w:t xml:space="preserve">Requisiti professionali - </w:t>
            </w:r>
            <w:r w:rsidRPr="007331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Nell’esercizio, in qualsiasi forma, di un’attività </w:t>
            </w:r>
            <w:r w:rsidR="00BE233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motoria o sportiva</w:t>
            </w:r>
            <w:r w:rsidRPr="007331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anche se effettuato nei confronti di una cerchia determinata di persone, deve essere garantita </w:t>
            </w:r>
            <w:r w:rsidRPr="007331C5">
              <w:rPr>
                <w:color w:val="auto"/>
                <w:sz w:val="20"/>
                <w:szCs w:val="20"/>
                <w:u w:val="none"/>
              </w:rPr>
              <w:t xml:space="preserve">la vigilanza da parte di personale abilitato (ISEF) </w:t>
            </w:r>
            <w:hyperlink r:id="rId7" w:history="1">
              <w:r w:rsidRPr="007331C5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 xml:space="preserve">– </w:t>
              </w:r>
              <w:r w:rsidRPr="007331C5">
                <w:rPr>
                  <w:rStyle w:val="Collegamentoipertestuale"/>
                  <w:b/>
                  <w:sz w:val="20"/>
                  <w:szCs w:val="20"/>
                  <w:u w:val="none"/>
                </w:rPr>
                <w:t>Art. 9 LR n. 26/2014.</w:t>
              </w:r>
            </w:hyperlink>
          </w:p>
          <w:p w14:paraId="620409C8" w14:textId="77777777" w:rsidR="00695827" w:rsidRPr="007331C5" w:rsidRDefault="00695827" w:rsidP="00695827">
            <w:pPr>
              <w:pStyle w:val="Paragrafoelenco"/>
              <w:spacing w:before="120" w:after="120" w:line="259" w:lineRule="auto"/>
              <w:ind w:left="524"/>
              <w:rPr>
                <w:b/>
                <w:bCs/>
                <w:color w:val="0000FF"/>
                <w:sz w:val="12"/>
                <w:szCs w:val="12"/>
                <w:u w:val="none"/>
              </w:rPr>
            </w:pPr>
          </w:p>
          <w:p w14:paraId="4FD696B6" w14:textId="7FB5CBC6" w:rsidR="00695827" w:rsidRPr="00DC3D81" w:rsidRDefault="00695827" w:rsidP="00DC3D81">
            <w:pPr>
              <w:pStyle w:val="Paragrafoelenco"/>
              <w:numPr>
                <w:ilvl w:val="0"/>
                <w:numId w:val="22"/>
              </w:numPr>
              <w:spacing w:after="120" w:line="259" w:lineRule="auto"/>
              <w:ind w:right="312"/>
              <w:jc w:val="both"/>
              <w:rPr>
                <w:color w:val="auto"/>
                <w:sz w:val="24"/>
                <w:szCs w:val="24"/>
                <w:u w:val="none"/>
              </w:rPr>
            </w:pPr>
            <w:r w:rsidRPr="00695827">
              <w:rPr>
                <w:b/>
                <w:bCs/>
                <w:color w:val="FF0000"/>
                <w:sz w:val="24"/>
                <w:szCs w:val="24"/>
                <w:u w:val="none"/>
              </w:rPr>
              <w:t>Modalità d’esercizio</w:t>
            </w:r>
            <w:r>
              <w:rPr>
                <w:b/>
                <w:bCs/>
                <w:color w:val="FF0000"/>
                <w:sz w:val="24"/>
                <w:szCs w:val="24"/>
                <w:u w:val="none"/>
              </w:rPr>
              <w:t xml:space="preserve"> - </w:t>
            </w:r>
            <w:r w:rsidRPr="00695827">
              <w:rPr>
                <w:color w:val="auto"/>
                <w:sz w:val="20"/>
                <w:szCs w:val="20"/>
                <w:u w:val="none"/>
              </w:rPr>
              <w:t>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competizioni sportive non su strada si devono svolgere in impianti sportivi appositamente autorizzati. </w:t>
            </w:r>
            <w:r w:rsidRPr="0087463F">
              <w:rPr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color w:val="auto"/>
                <w:sz w:val="20"/>
                <w:szCs w:val="20"/>
                <w:u w:val="none"/>
              </w:rPr>
              <w:t xml:space="preserve">Se la competizione sportiva </w:t>
            </w:r>
            <w:r w:rsidRPr="0087463F">
              <w:rPr>
                <w:color w:val="auto"/>
                <w:sz w:val="20"/>
                <w:szCs w:val="20"/>
                <w:u w:val="none"/>
              </w:rPr>
              <w:t xml:space="preserve">non su strada </w:t>
            </w:r>
            <w:r>
              <w:rPr>
                <w:color w:val="auto"/>
                <w:sz w:val="20"/>
                <w:szCs w:val="20"/>
                <w:u w:val="none"/>
              </w:rPr>
              <w:t xml:space="preserve">si svolge fuori da tali strutture, occorre ottenere </w:t>
            </w:r>
            <w:r w:rsidRPr="0087463F">
              <w:rPr>
                <w:color w:val="auto"/>
                <w:sz w:val="20"/>
                <w:szCs w:val="20"/>
                <w:u w:val="none"/>
              </w:rPr>
              <w:t xml:space="preserve">la specifica licenza di polizia amministrativa che è rilasciata previo accertamento dell’idoneità del locale </w:t>
            </w:r>
            <w:r>
              <w:rPr>
                <w:color w:val="auto"/>
                <w:sz w:val="20"/>
                <w:szCs w:val="20"/>
                <w:u w:val="none"/>
              </w:rPr>
              <w:t xml:space="preserve">o dell’area </w:t>
            </w:r>
            <w:r w:rsidRPr="0087463F">
              <w:rPr>
                <w:color w:val="auto"/>
                <w:sz w:val="20"/>
                <w:szCs w:val="20"/>
                <w:u w:val="none"/>
              </w:rPr>
              <w:t xml:space="preserve">da parte della </w:t>
            </w:r>
            <w:r w:rsidRPr="00695827">
              <w:rPr>
                <w:b/>
                <w:color w:val="auto"/>
                <w:sz w:val="20"/>
                <w:szCs w:val="20"/>
                <w:u w:val="none"/>
              </w:rPr>
              <w:t>CCVLPS</w:t>
            </w:r>
            <w:r w:rsidRPr="00695827"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r w:rsidRPr="0087463F">
              <w:rPr>
                <w:color w:val="auto"/>
                <w:sz w:val="20"/>
                <w:szCs w:val="20"/>
                <w:u w:val="none"/>
              </w:rPr>
              <w:t>verifica</w:t>
            </w:r>
            <w:r>
              <w:rPr>
                <w:color w:val="auto"/>
                <w:sz w:val="20"/>
                <w:szCs w:val="20"/>
                <w:u w:val="none"/>
              </w:rPr>
              <w:t>n</w:t>
            </w:r>
            <w:r w:rsidRPr="0087463F">
              <w:rPr>
                <w:color w:val="auto"/>
                <w:sz w:val="20"/>
                <w:szCs w:val="20"/>
                <w:u w:val="none"/>
              </w:rPr>
              <w:t xml:space="preserve">do anche la rispondenza alla </w:t>
            </w:r>
            <w:r w:rsidRPr="00564375">
              <w:rPr>
                <w:bCs/>
                <w:color w:val="auto"/>
                <w:sz w:val="20"/>
                <w:szCs w:val="20"/>
                <w:u w:val="none"/>
              </w:rPr>
              <w:t>programmazione economica commerciale del PGT.</w:t>
            </w:r>
          </w:p>
          <w:p w14:paraId="42033A19" w14:textId="77777777" w:rsidR="00DC3D81" w:rsidRPr="00DC3D81" w:rsidRDefault="00DC3D81" w:rsidP="00DC3D81">
            <w:pPr>
              <w:pStyle w:val="Paragrafoelenco"/>
              <w:rPr>
                <w:sz w:val="12"/>
                <w:szCs w:val="12"/>
              </w:rPr>
            </w:pPr>
          </w:p>
          <w:p w14:paraId="6D2F0B6E" w14:textId="6D77AA4C" w:rsidR="00695827" w:rsidRPr="00DC3D81" w:rsidRDefault="00DC3D81" w:rsidP="00695827">
            <w:pPr>
              <w:pStyle w:val="Paragrafoelenco"/>
              <w:numPr>
                <w:ilvl w:val="0"/>
                <w:numId w:val="22"/>
              </w:numPr>
              <w:spacing w:line="259" w:lineRule="auto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HYPERLINK "Definizioni/14PA%20Prescrizioni%20per%20competizioni%20sportive.pdf"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827" w:rsidRPr="00DC3D81">
              <w:rPr>
                <w:rStyle w:val="Collegamentoipertestuale"/>
                <w:b/>
                <w:bCs/>
                <w:sz w:val="24"/>
                <w:szCs w:val="24"/>
              </w:rPr>
              <w:t>Prescrizioni per competizioni sportive</w:t>
            </w:r>
          </w:p>
          <w:p w14:paraId="0A587CBB" w14:textId="5D8C2037" w:rsidR="00DC3D81" w:rsidRPr="00DC3D81" w:rsidRDefault="00DC3D81" w:rsidP="00DC3D81">
            <w:pPr>
              <w:pStyle w:val="Paragrafoelenco"/>
              <w:spacing w:line="259" w:lineRule="auto"/>
              <w:rPr>
                <w:b/>
                <w:bCs/>
                <w:color w:val="0000FF"/>
                <w:sz w:val="12"/>
                <w:szCs w:val="12"/>
                <w:u w:val="none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FF824C2" w14:textId="070282AF" w:rsidR="00695827" w:rsidRPr="00DC3D81" w:rsidRDefault="00DC3D81" w:rsidP="00695827">
            <w:pPr>
              <w:pStyle w:val="Paragrafoelenco"/>
              <w:numPr>
                <w:ilvl w:val="0"/>
                <w:numId w:val="22"/>
              </w:numPr>
              <w:spacing w:line="259" w:lineRule="auto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HYPERLINK "../../INCENDIO/PREVENZIONE%20INCENDI.docx"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827" w:rsidRPr="00DC3D81">
              <w:rPr>
                <w:rStyle w:val="Collegamentoipertestuale"/>
                <w:b/>
                <w:bCs/>
                <w:sz w:val="24"/>
                <w:szCs w:val="24"/>
              </w:rPr>
              <w:t>Prevenzione incendi</w:t>
            </w:r>
          </w:p>
          <w:p w14:paraId="7DA6FDEA" w14:textId="3527F617" w:rsidR="00695827" w:rsidRPr="00695827" w:rsidRDefault="00DC3D81" w:rsidP="00695827">
            <w:pPr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F5F985C" w14:textId="77777777" w:rsidR="00651349" w:rsidRPr="00695827" w:rsidRDefault="002B6C24" w:rsidP="004B7DB4">
            <w:pPr>
              <w:spacing w:after="120"/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695827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4164EB5F" w14:textId="04740896" w:rsidR="003F41B0" w:rsidRPr="00A0078C" w:rsidRDefault="003F41B0" w:rsidP="003F41B0">
            <w:pPr>
              <w:spacing w:after="120"/>
              <w:ind w:left="164" w:right="312"/>
              <w:jc w:val="both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3F41B0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Chi intende attivare una </w:t>
            </w:r>
            <w:r w:rsidRPr="003F41B0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manifestazione sportiva non su strada</w:t>
            </w:r>
            <w:r w:rsidRPr="003F41B0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3F41B0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utilizzando strutture pubbliche a ciò abilitate deve munirsi di apposita licenza, prevista dall’art. 68 del TULPS, presentando al SUAP una </w:t>
            </w:r>
            <w:r w:rsidR="0069582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istanza</w:t>
            </w:r>
            <w:r w:rsidR="00A0078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 </w:t>
            </w:r>
            <w:r w:rsidR="00A0078C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30 giorni prima della manifestazione. </w:t>
            </w:r>
          </w:p>
          <w:p w14:paraId="57A66F5B" w14:textId="1FFF977F" w:rsidR="003F41B0" w:rsidRDefault="003F41B0" w:rsidP="003F41B0">
            <w:pPr>
              <w:spacing w:before="30"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F41B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Qualora la manifestazione venga svolta in locali</w:t>
            </w:r>
            <w:r w:rsidR="009D55D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aree </w:t>
            </w:r>
            <w:r w:rsidRPr="003F41B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o impianti non dichiarati a ciò agibili occorre presentare </w:t>
            </w:r>
            <w:r w:rsidR="009D55D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al SUAP </w:t>
            </w:r>
            <w:r w:rsidRPr="003F41B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richiesta di </w:t>
            </w:r>
            <w:hyperlink r:id="rId8" w:history="1">
              <w:r w:rsidRPr="009D55DB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lang w:eastAsia="it-IT"/>
                </w:rPr>
                <w:t>parere preventivo</w:t>
              </w:r>
            </w:hyperlink>
            <w:r w:rsidRPr="003F41B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di ammissibilità urbanistica e </w:t>
            </w:r>
            <w:r w:rsidRPr="003F41B0">
              <w:rPr>
                <w:color w:val="auto"/>
                <w:sz w:val="20"/>
                <w:szCs w:val="20"/>
                <w:u w:val="none"/>
              </w:rPr>
              <w:t>verifica del progetto per il rilascio dell’agibilità del locale</w:t>
            </w:r>
            <w:r w:rsidR="009D55DB">
              <w:rPr>
                <w:color w:val="auto"/>
                <w:sz w:val="20"/>
                <w:szCs w:val="20"/>
                <w:u w:val="none"/>
              </w:rPr>
              <w:t xml:space="preserve">, </w:t>
            </w:r>
            <w:r w:rsidRPr="003F41B0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da sottoporre all’esame della </w:t>
            </w:r>
            <w:r w:rsidRPr="009D55DB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CCVLPS</w:t>
            </w:r>
            <w:r w:rsidR="00A0078C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A0078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almeno 60 giorni prima della manifestazione</w:t>
            </w:r>
            <w:r w:rsidRPr="009D55DB">
              <w:rPr>
                <w:rStyle w:val="Collegamentoipertestuale"/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.</w:t>
            </w:r>
            <w:r w:rsidRPr="009D55D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 </w:t>
            </w:r>
          </w:p>
          <w:p w14:paraId="270AD9B7" w14:textId="695E83D4" w:rsidR="003F41B0" w:rsidRPr="003F41B0" w:rsidRDefault="003F41B0" w:rsidP="003F41B0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3F41B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 nulla osta acquisito,</w:t>
            </w:r>
            <w:r w:rsidRPr="003F41B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9D55D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l’istanza</w:t>
            </w:r>
            <w:r w:rsidRPr="003F41B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di esercizio della specifica attività sportiva, deve essere</w:t>
            </w:r>
            <w:r w:rsidRPr="003F41B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3F41B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presentata </w:t>
            </w:r>
            <w:r w:rsidRPr="003F41B0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9" w:history="1">
              <w:r w:rsidR="00367834" w:rsidRPr="00367834">
                <w:rPr>
                  <w:rStyle w:val="Collegamentoipertestuale"/>
                  <w:b/>
                  <w:sz w:val="20"/>
                  <w:szCs w:val="20"/>
                </w:rPr>
                <w:t>Impresainungiorno.gov.it</w:t>
              </w:r>
            </w:hyperlink>
          </w:p>
          <w:p w14:paraId="664F0B48" w14:textId="284BE9B5" w:rsidR="003F41B0" w:rsidRPr="003F41B0" w:rsidRDefault="003F41B0" w:rsidP="009D55DB">
            <w:pPr>
              <w:spacing w:after="24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3F41B0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FA48E8"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</w:t>
            </w:r>
            <w:r w:rsidR="009D55DB">
              <w:rPr>
                <w:b/>
                <w:color w:val="auto"/>
                <w:sz w:val="20"/>
                <w:szCs w:val="20"/>
                <w:u w:val="none"/>
              </w:rPr>
              <w:t xml:space="preserve"> (Ateco da 90 a 93)</w:t>
            </w:r>
            <w:r w:rsidRPr="003F41B0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FA48E8">
              <w:rPr>
                <w:b/>
                <w:color w:val="auto"/>
                <w:sz w:val="20"/>
                <w:szCs w:val="20"/>
                <w:u w:val="none"/>
              </w:rPr>
              <w:t>Attività sportive</w:t>
            </w:r>
            <w:r w:rsidRPr="003F41B0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Pr="003F41B0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Manifestazione sportiva in locali/impianti</w:t>
            </w:r>
            <w:r w:rsidRPr="003F41B0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, </w:t>
            </w:r>
            <w:r w:rsidRPr="003F41B0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3F41B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F41B0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3F41B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F41B0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3F41B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F41B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3F41B0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 Aprire l’attività</w:t>
            </w:r>
            <w:r w:rsidRPr="003F41B0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5E6E05A7" w14:textId="079411A7" w:rsidR="00764B7D" w:rsidRPr="00DC3D81" w:rsidRDefault="00764B7D" w:rsidP="002409C5">
            <w:pPr>
              <w:spacing w:after="240"/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764B7D">
              <w:rPr>
                <w:color w:val="auto"/>
                <w:sz w:val="20"/>
                <w:szCs w:val="20"/>
                <w:u w:val="none"/>
              </w:rPr>
              <w:t>Per abbinare l’attività complementare di somministrazione alimenti e bevande occorre osservare le seguenti indicazioni</w:t>
            </w:r>
            <w:r w:rsidRPr="00764B7D">
              <w:rPr>
                <w:sz w:val="20"/>
                <w:szCs w:val="20"/>
                <w:u w:val="none"/>
              </w:rPr>
              <w:t xml:space="preserve">: </w:t>
            </w:r>
            <w:r w:rsidR="00DC3D81">
              <w:rPr>
                <w:b/>
                <w:sz w:val="20"/>
                <w:szCs w:val="20"/>
              </w:rPr>
              <w:fldChar w:fldCharType="begin"/>
            </w:r>
            <w:r w:rsidR="00DC3D81">
              <w:rPr>
                <w:b/>
                <w:sz w:val="20"/>
                <w:szCs w:val="20"/>
              </w:rPr>
              <w:instrText xml:space="preserve"> HYPERLINK "../4%20Settore%20Pubblici%20esercizi/PE2%20Somministrazione%20non%20programmata.docx" </w:instrText>
            </w:r>
            <w:r w:rsidR="00DC3D81">
              <w:rPr>
                <w:b/>
                <w:sz w:val="20"/>
                <w:szCs w:val="20"/>
              </w:rPr>
              <w:fldChar w:fldCharType="separate"/>
            </w:r>
            <w:r w:rsidRPr="00DC3D81">
              <w:rPr>
                <w:rStyle w:val="Collegamentoipertestuale"/>
                <w:b/>
                <w:sz w:val="20"/>
                <w:szCs w:val="20"/>
              </w:rPr>
              <w:t>Somministrazione libera</w:t>
            </w:r>
          </w:p>
          <w:p w14:paraId="4EF38967" w14:textId="4978CF1E" w:rsidR="009D55DB" w:rsidRPr="0056509F" w:rsidRDefault="00DC3D81" w:rsidP="002409C5">
            <w:pPr>
              <w:spacing w:after="240"/>
              <w:ind w:left="164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2409C5"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</w:t>
            </w:r>
            <w:r w:rsidR="009D55DB"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="009D55DB"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</w:t>
            </w:r>
            <w:proofErr w:type="spellStart"/>
            <w:r w:rsidR="009D55DB"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inerenti</w:t>
            </w:r>
            <w:r w:rsidR="009D55D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  <w:r w:rsidR="009D55DB"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proofErr w:type="spellEnd"/>
            <w:r w:rsidR="009D55DB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="009D55DB"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10" w:history="1">
              <w:r w:rsidR="009D55DB"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 w:rsidR="009D55DB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="009D55DB"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="009D55DB" w:rsidRPr="0016697F">
                <w:rPr>
                  <w:rStyle w:val="Collegamentoipertestuale"/>
                  <w:u w:val="none"/>
                </w:rPr>
                <w:t xml:space="preserve"> </w:t>
              </w:r>
              <w:r w:rsidR="009D55DB"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="009D55DB"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="009D55DB"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="009D55DB"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6FEB0650" w14:textId="77777777" w:rsidR="009D55DB" w:rsidRDefault="009D55DB" w:rsidP="009D55DB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1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265E195C" w14:textId="77777777" w:rsidR="009D55DB" w:rsidRPr="002F3FF3" w:rsidRDefault="009D55DB" w:rsidP="009D55DB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563657B1" w14:textId="5333DE2A" w:rsidR="002409C5" w:rsidRPr="002409C5" w:rsidRDefault="00AB51D9" w:rsidP="009D55DB">
            <w:pPr>
              <w:ind w:left="164" w:right="312"/>
              <w:jc w:val="both"/>
              <w:rPr>
                <w:b/>
                <w:bCs/>
              </w:rPr>
            </w:pPr>
            <w:hyperlink r:id="rId12" w:history="1">
              <w:r w:rsidR="002409C5" w:rsidRPr="002409C5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5F0C04EA" w14:textId="77777777" w:rsidR="002409C5" w:rsidRDefault="002409C5" w:rsidP="009D55DB">
            <w:pPr>
              <w:ind w:left="164" w:right="312"/>
              <w:jc w:val="both"/>
            </w:pPr>
          </w:p>
          <w:p w14:paraId="02FFA04A" w14:textId="05B07F30" w:rsidR="009D55DB" w:rsidRPr="00744B7C" w:rsidRDefault="00AB51D9" w:rsidP="009D55DB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3" w:history="1">
              <w:r w:rsidR="009D55DB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</w:t>
              </w:r>
              <w:r w:rsidR="009D55DB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T</w:t>
              </w:r>
              <w:r w:rsidR="009D55DB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ECO</w:t>
              </w:r>
            </w:hyperlink>
            <w:r w:rsidR="009D55DB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9D55DB">
              <w:rPr>
                <w:b/>
                <w:color w:val="auto"/>
                <w:sz w:val="20"/>
                <w:szCs w:val="20"/>
                <w:u w:val="none"/>
              </w:rPr>
              <w:t>(Ateco da 90 a 93)</w:t>
            </w:r>
          </w:p>
          <w:p w14:paraId="23B4DD66" w14:textId="77777777" w:rsidR="009D55DB" w:rsidRDefault="009D55DB" w:rsidP="009D55DB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30B9786B" w14:textId="03F338F9" w:rsidR="002409C5" w:rsidRDefault="00AB51D9" w:rsidP="002409C5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4" w:history="1">
              <w:r w:rsidR="002409C5">
                <w:rPr>
                  <w:rStyle w:val="Collegamentoipertestuale"/>
                  <w:b/>
                  <w:bCs/>
                </w:rPr>
                <w:t>O</w:t>
              </w:r>
              <w:r w:rsidR="002409C5">
                <w:rPr>
                  <w:rStyle w:val="Collegamentoipertestuale"/>
                  <w:b/>
                </w:rPr>
                <w:t xml:space="preserve">neri </w:t>
              </w:r>
              <w:r w:rsidR="002409C5">
                <w:rPr>
                  <w:rStyle w:val="Collegamentoipertestuale"/>
                  <w:b/>
                  <w:bCs/>
                </w:rPr>
                <w:t>istr</w:t>
              </w:r>
              <w:r w:rsidR="002409C5">
                <w:rPr>
                  <w:rStyle w:val="Collegamentoipertestuale"/>
                  <w:b/>
                  <w:bCs/>
                </w:rPr>
                <w:t>u</w:t>
              </w:r>
              <w:r w:rsidR="002409C5">
                <w:rPr>
                  <w:rStyle w:val="Collegamentoipertestuale"/>
                  <w:b/>
                  <w:bCs/>
                </w:rPr>
                <w:t>t</w:t>
              </w:r>
              <w:r w:rsidR="002409C5">
                <w:rPr>
                  <w:rStyle w:val="Collegamentoipertestuale"/>
                  <w:b/>
                  <w:bCs/>
                </w:rPr>
                <w:t>t</w:t>
              </w:r>
              <w:r w:rsidR="002409C5">
                <w:rPr>
                  <w:rStyle w:val="Collegamentoipertestuale"/>
                  <w:b/>
                  <w:bCs/>
                </w:rPr>
                <w:t>o</w:t>
              </w:r>
              <w:r w:rsidR="002409C5">
                <w:rPr>
                  <w:rStyle w:val="Collegamentoipertestuale"/>
                  <w:b/>
                  <w:bCs/>
                </w:rPr>
                <w:t>ri</w:t>
              </w:r>
            </w:hyperlink>
          </w:p>
          <w:p w14:paraId="564D6A26" w14:textId="77777777" w:rsidR="002409C5" w:rsidRPr="002409C5" w:rsidRDefault="002409C5" w:rsidP="002409C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2409C5">
              <w:rPr>
                <w:b/>
                <w:bCs/>
                <w:color w:val="FF0000"/>
                <w:sz w:val="20"/>
                <w:szCs w:val="20"/>
                <w:u w:val="none"/>
              </w:rPr>
              <w:t>L’efficacia del provvedimento conclusivo è subordinata al pagamento dei corrispettivi eventualmente dovuti per il funzionamento della CCVLPS.</w:t>
            </w:r>
          </w:p>
          <w:p w14:paraId="72EE265E" w14:textId="77777777" w:rsidR="002409C5" w:rsidRDefault="002409C5" w:rsidP="002409C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2"/>
                <w:szCs w:val="22"/>
              </w:rPr>
            </w:pPr>
          </w:p>
          <w:bookmarkStart w:id="0" w:name="_Hlk67046091"/>
          <w:p w14:paraId="3542D9F0" w14:textId="590AFE46" w:rsidR="002409C5" w:rsidRDefault="002409C5" w:rsidP="002409C5">
            <w:pPr>
              <w:pStyle w:val="Paragrafoelenco"/>
              <w:spacing w:after="120"/>
              <w:ind w:left="164" w:right="170"/>
              <w:jc w:val="both"/>
              <w:rPr>
                <w:sz w:val="20"/>
                <w:szCs w:val="20"/>
              </w:rPr>
            </w:pPr>
            <w:r>
              <w:fldChar w:fldCharType="begin"/>
            </w:r>
            <w:r w:rsidR="000732E4">
              <w:instrText>HYPERLINK "Definizioni/21PA%20Tempistica%20CCVLPS.pdf"</w:instrText>
            </w:r>
            <w:r>
              <w:fldChar w:fldCharType="separate"/>
            </w:r>
            <w:r>
              <w:rPr>
                <w:rStyle w:val="Collegamentoipertestuale"/>
                <w:b/>
              </w:rPr>
              <w:t>Tempistica CCVLPS</w:t>
            </w:r>
            <w:r>
              <w:fldChar w:fldCharType="end"/>
            </w:r>
            <w:r>
              <w:rPr>
                <w:b/>
                <w:color w:val="C00000"/>
              </w:rPr>
              <w:t xml:space="preserve"> </w:t>
            </w:r>
          </w:p>
          <w:bookmarkEnd w:id="0"/>
          <w:p w14:paraId="35C42909" w14:textId="60AF9457" w:rsidR="009D55DB" w:rsidRPr="002409C5" w:rsidRDefault="002409C5" w:rsidP="002409C5">
            <w:pPr>
              <w:pStyle w:val="Rientrocorpodeltesto"/>
              <w:spacing w:after="0"/>
              <w:ind w:left="164"/>
              <w:jc w:val="both"/>
              <w:rPr>
                <w:color w:val="auto"/>
                <w:u w:val="none"/>
              </w:rPr>
            </w:pPr>
            <w:r w:rsidRPr="002409C5">
              <w:rPr>
                <w:b/>
                <w:bCs/>
                <w:color w:val="auto"/>
                <w:sz w:val="20"/>
                <w:szCs w:val="20"/>
                <w:u w:val="none"/>
              </w:rPr>
              <w:t>Il Responsabile SUAP rilascia le licenze per l’esercizio di piscine pubbliche previo parere del servizio Igiene Pubblica dell’A.T.S.</w:t>
            </w:r>
          </w:p>
          <w:p w14:paraId="19420977" w14:textId="77777777" w:rsidR="002409C5" w:rsidRDefault="002409C5" w:rsidP="009D55DB">
            <w:pPr>
              <w:pStyle w:val="Rientrocorpodeltesto"/>
              <w:spacing w:after="0"/>
              <w:ind w:left="164"/>
              <w:jc w:val="both"/>
            </w:pPr>
          </w:p>
          <w:p w14:paraId="50B527FB" w14:textId="21DEDE28" w:rsidR="00D023AB" w:rsidRPr="00945B26" w:rsidRDefault="00AB51D9" w:rsidP="00D023AB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5" w:history="1">
              <w:r w:rsidR="009D55DB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D55DB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9D55DB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D55DB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D55DB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6" w:history="1">
              <w:r w:rsidR="000732E4">
                <w:rPr>
                  <w:rStyle w:val="Collegamentoipertestuale"/>
                  <w:b/>
                  <w:sz w:val="20"/>
                  <w:szCs w:val="20"/>
                </w:rPr>
                <w:t>TUR parte 5^</w:t>
              </w:r>
            </w:hyperlink>
            <w:r w:rsidR="000732E4">
              <w:rPr>
                <w:color w:val="0000FF"/>
                <w:sz w:val="20"/>
                <w:szCs w:val="20"/>
              </w:rPr>
              <w:t xml:space="preserve"> </w:t>
            </w:r>
            <w:r w:rsidR="00D023AB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D023AB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26E76BF4" w14:textId="77777777" w:rsidR="009D55DB" w:rsidRPr="00D84657" w:rsidRDefault="009D55DB" w:rsidP="009D55DB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595B2108" w14:textId="5B9CD069" w:rsidR="00695827" w:rsidRPr="00697CB5" w:rsidRDefault="009D55DB" w:rsidP="00A0078C">
            <w:pPr>
              <w:spacing w:after="120"/>
              <w:ind w:left="164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A0078C">
              <w:rPr>
                <w:color w:val="C00000"/>
                <w:u w:val="none"/>
              </w:rPr>
              <w:t xml:space="preserve"> </w:t>
            </w:r>
            <w:r w:rsidR="00695827" w:rsidRPr="00697CB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Per ulteriori informazioni </w:t>
            </w:r>
            <w:r w:rsidR="00A0078C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sulla sicurezza </w:t>
            </w:r>
            <w:r w:rsidR="00695827" w:rsidRPr="00697CB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consulta il</w:t>
            </w:r>
            <w:r w:rsidR="00695827" w:rsidRPr="00697CB5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 xml:space="preserve"> </w:t>
            </w:r>
            <w:hyperlink r:id="rId17" w:tgtFrame="_blank" w:history="1">
              <w:r w:rsidR="00695827" w:rsidRPr="00697CB5">
                <w:rPr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sito di</w:t>
              </w:r>
              <w:r w:rsidR="00695827" w:rsidRPr="00697CB5">
                <w:rPr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 xml:space="preserve"> </w:t>
              </w:r>
              <w:r w:rsidR="00695827" w:rsidRPr="00697CB5">
                <w:rPr>
                  <w:rFonts w:eastAsia="Times New Roman"/>
                  <w:b/>
                  <w:color w:val="0000FF"/>
                  <w:sz w:val="20"/>
                  <w:szCs w:val="20"/>
                  <w:u w:val="none"/>
                  <w:lang w:eastAsia="it-IT"/>
                </w:rPr>
                <w:t>AREU</w:t>
              </w:r>
            </w:hyperlink>
            <w:r w:rsidR="00695827" w:rsidRPr="00697CB5">
              <w:rPr>
                <w:rFonts w:eastAsia="Times New Roman"/>
                <w:sz w:val="20"/>
                <w:szCs w:val="20"/>
                <w:u w:val="none"/>
                <w:lang w:eastAsia="it-IT"/>
              </w:rPr>
              <w:t>.</w:t>
            </w:r>
          </w:p>
          <w:p w14:paraId="57B8D0FA" w14:textId="180F1E47" w:rsidR="00276654" w:rsidRPr="0041512A" w:rsidRDefault="00276654" w:rsidP="0090382A">
            <w:pPr>
              <w:pStyle w:val="Paragrafoelenco"/>
              <w:tabs>
                <w:tab w:val="left" w:pos="731"/>
              </w:tabs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74D07262" w14:textId="77777777" w:rsidR="00342D58" w:rsidRDefault="00342D58">
      <w:pPr>
        <w:rPr>
          <w:b/>
        </w:rPr>
      </w:pPr>
    </w:p>
    <w:p w14:paraId="7BC11BD3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D3454"/>
    <w:multiLevelType w:val="hybridMultilevel"/>
    <w:tmpl w:val="7CFAE664"/>
    <w:lvl w:ilvl="0" w:tplc="3B4C6352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36215DBE"/>
    <w:multiLevelType w:val="hybridMultilevel"/>
    <w:tmpl w:val="6D920468"/>
    <w:lvl w:ilvl="0" w:tplc="BD5AD4EE">
      <w:start w:val="6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2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53F7"/>
    <w:multiLevelType w:val="hybridMultilevel"/>
    <w:tmpl w:val="EEB2DF50"/>
    <w:lvl w:ilvl="0" w:tplc="7C287214">
      <w:start w:val="5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7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3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22"/>
  </w:num>
  <w:num w:numId="5">
    <w:abstractNumId w:val="1"/>
  </w:num>
  <w:num w:numId="6">
    <w:abstractNumId w:val="2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  <w:num w:numId="14">
    <w:abstractNumId w:val="21"/>
  </w:num>
  <w:num w:numId="15">
    <w:abstractNumId w:val="13"/>
  </w:num>
  <w:num w:numId="16">
    <w:abstractNumId w:val="8"/>
  </w:num>
  <w:num w:numId="17">
    <w:abstractNumId w:val="23"/>
  </w:num>
  <w:num w:numId="18">
    <w:abstractNumId w:val="14"/>
  </w:num>
  <w:num w:numId="19">
    <w:abstractNumId w:val="3"/>
  </w:num>
  <w:num w:numId="20">
    <w:abstractNumId w:val="17"/>
  </w:num>
  <w:num w:numId="21">
    <w:abstractNumId w:val="18"/>
  </w:num>
  <w:num w:numId="22">
    <w:abstractNumId w:val="6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71B68"/>
    <w:rsid w:val="000732E4"/>
    <w:rsid w:val="000B47FE"/>
    <w:rsid w:val="000C07C3"/>
    <w:rsid w:val="000E4B7E"/>
    <w:rsid w:val="000F3ADF"/>
    <w:rsid w:val="00112873"/>
    <w:rsid w:val="00117F1E"/>
    <w:rsid w:val="0012159E"/>
    <w:rsid w:val="00123CDD"/>
    <w:rsid w:val="00154BB5"/>
    <w:rsid w:val="001626B7"/>
    <w:rsid w:val="001D73AE"/>
    <w:rsid w:val="002210DE"/>
    <w:rsid w:val="0023487B"/>
    <w:rsid w:val="00234E94"/>
    <w:rsid w:val="00237016"/>
    <w:rsid w:val="002409C5"/>
    <w:rsid w:val="00276654"/>
    <w:rsid w:val="00281114"/>
    <w:rsid w:val="002A5D7C"/>
    <w:rsid w:val="002A6285"/>
    <w:rsid w:val="002A77E8"/>
    <w:rsid w:val="002B375D"/>
    <w:rsid w:val="002B6C24"/>
    <w:rsid w:val="002B7651"/>
    <w:rsid w:val="00342D58"/>
    <w:rsid w:val="003514C2"/>
    <w:rsid w:val="00367834"/>
    <w:rsid w:val="003A148C"/>
    <w:rsid w:val="003A4A32"/>
    <w:rsid w:val="003C5FBA"/>
    <w:rsid w:val="003F41B0"/>
    <w:rsid w:val="0041512A"/>
    <w:rsid w:val="00423B0B"/>
    <w:rsid w:val="004257E1"/>
    <w:rsid w:val="00437832"/>
    <w:rsid w:val="0044342C"/>
    <w:rsid w:val="0045341A"/>
    <w:rsid w:val="004704B5"/>
    <w:rsid w:val="00493BD0"/>
    <w:rsid w:val="004B3C68"/>
    <w:rsid w:val="004B5D25"/>
    <w:rsid w:val="004B7DB4"/>
    <w:rsid w:val="004F3CF0"/>
    <w:rsid w:val="004F59C5"/>
    <w:rsid w:val="004F667B"/>
    <w:rsid w:val="00506E58"/>
    <w:rsid w:val="00564375"/>
    <w:rsid w:val="005930C1"/>
    <w:rsid w:val="005A366A"/>
    <w:rsid w:val="005C01FD"/>
    <w:rsid w:val="005C68B2"/>
    <w:rsid w:val="005C720B"/>
    <w:rsid w:val="005E5880"/>
    <w:rsid w:val="005F1CCE"/>
    <w:rsid w:val="00621A5C"/>
    <w:rsid w:val="00621E64"/>
    <w:rsid w:val="00640813"/>
    <w:rsid w:val="00651349"/>
    <w:rsid w:val="00651378"/>
    <w:rsid w:val="00692827"/>
    <w:rsid w:val="00694BB5"/>
    <w:rsid w:val="00695827"/>
    <w:rsid w:val="00697CB5"/>
    <w:rsid w:val="006B29D2"/>
    <w:rsid w:val="006B3A13"/>
    <w:rsid w:val="006C7151"/>
    <w:rsid w:val="006E08B5"/>
    <w:rsid w:val="006E2A43"/>
    <w:rsid w:val="00705665"/>
    <w:rsid w:val="00714EBD"/>
    <w:rsid w:val="007269D9"/>
    <w:rsid w:val="00737DA2"/>
    <w:rsid w:val="00746376"/>
    <w:rsid w:val="00752EB6"/>
    <w:rsid w:val="00757EC8"/>
    <w:rsid w:val="00764B7D"/>
    <w:rsid w:val="007D29FA"/>
    <w:rsid w:val="0082478D"/>
    <w:rsid w:val="00872D0F"/>
    <w:rsid w:val="008756FA"/>
    <w:rsid w:val="00886390"/>
    <w:rsid w:val="00897F79"/>
    <w:rsid w:val="009025A0"/>
    <w:rsid w:val="0090382A"/>
    <w:rsid w:val="0091325F"/>
    <w:rsid w:val="00945B26"/>
    <w:rsid w:val="0097516F"/>
    <w:rsid w:val="009A039A"/>
    <w:rsid w:val="009A4645"/>
    <w:rsid w:val="009C0F33"/>
    <w:rsid w:val="009D00A5"/>
    <w:rsid w:val="009D55DB"/>
    <w:rsid w:val="00A0078C"/>
    <w:rsid w:val="00A06B50"/>
    <w:rsid w:val="00A123BB"/>
    <w:rsid w:val="00A602F5"/>
    <w:rsid w:val="00A84893"/>
    <w:rsid w:val="00AA466D"/>
    <w:rsid w:val="00AB1980"/>
    <w:rsid w:val="00AB51D9"/>
    <w:rsid w:val="00B0731C"/>
    <w:rsid w:val="00B224D6"/>
    <w:rsid w:val="00B66F7C"/>
    <w:rsid w:val="00BE2339"/>
    <w:rsid w:val="00BF42AE"/>
    <w:rsid w:val="00BF5221"/>
    <w:rsid w:val="00C459E8"/>
    <w:rsid w:val="00C75D34"/>
    <w:rsid w:val="00C9233E"/>
    <w:rsid w:val="00CD592E"/>
    <w:rsid w:val="00CE16FB"/>
    <w:rsid w:val="00CF2C56"/>
    <w:rsid w:val="00D023AB"/>
    <w:rsid w:val="00D16B5E"/>
    <w:rsid w:val="00D46D3D"/>
    <w:rsid w:val="00D5625E"/>
    <w:rsid w:val="00DC3D81"/>
    <w:rsid w:val="00DC5DC3"/>
    <w:rsid w:val="00DD2BE3"/>
    <w:rsid w:val="00DF0435"/>
    <w:rsid w:val="00E25843"/>
    <w:rsid w:val="00E34EA4"/>
    <w:rsid w:val="00E61C9E"/>
    <w:rsid w:val="00E660BB"/>
    <w:rsid w:val="00E96861"/>
    <w:rsid w:val="00EB1403"/>
    <w:rsid w:val="00EE371A"/>
    <w:rsid w:val="00F07CBF"/>
    <w:rsid w:val="00F2381A"/>
    <w:rsid w:val="00F312D0"/>
    <w:rsid w:val="00F33A15"/>
    <w:rsid w:val="00F724EE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D07A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409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09C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09C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09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09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odulistica%20univoca/MU2%20Parere%20preventivo%20per.pdf" TargetMode="External"/><Relationship Id="rId13" Type="http://schemas.openxmlformats.org/officeDocument/2006/relationships/hyperlink" Target="../../ATECO/Ateco%20Arte_Sport.xls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rmelombardia.consiglio.regione.lombardia.it/NormeLombardia/Accessibile/main.aspx?exp_coll=lr002014100100026&amp;view=showdoc&amp;iddoc=lr002014100100026&amp;selnode=lr002014100100026" TargetMode="External"/><Relationship Id="rId12" Type="http://schemas.openxmlformats.org/officeDocument/2006/relationships/hyperlink" Target="Allegati/PA18-19-20-21%20Piscine.pdf" TargetMode="External"/><Relationship Id="rId17" Type="http://schemas.openxmlformats.org/officeDocument/2006/relationships/hyperlink" Target="https://www.areu.lombardia.it/web/home/eventi-e-manifestazion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TUR\Parte%205%5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5" Type="http://schemas.openxmlformats.org/officeDocument/2006/relationships/hyperlink" Target="file:///C:\Walter\sportello%20unico\Progetto%20PUC\PROCEDIMENTI\PROCEDIMENTI.docx" TargetMode="External"/><Relationship Id="rId15" Type="http://schemas.openxmlformats.org/officeDocument/2006/relationships/hyperlink" Target="file:///C:\Walter\sportello%20unico\Progetto%20PUC\PUC\5%20Procedimenti\Definizioni\Riferimenti%20normativi%20e%20di%20controllo.docx" TargetMode="External"/><Relationship Id="rId10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L581" TargetMode="External"/><Relationship Id="rId14" Type="http://schemas.openxmlformats.org/officeDocument/2006/relationships/hyperlink" Target="Definizioni/6PA%20Tariffe%20polizia%20amministrativa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42</cp:revision>
  <dcterms:created xsi:type="dcterms:W3CDTF">2018-07-28T12:54:00Z</dcterms:created>
  <dcterms:modified xsi:type="dcterms:W3CDTF">2021-05-12T08:34:00Z</dcterms:modified>
</cp:coreProperties>
</file>